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426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Проект «Билет в будущее» станет стандартом профориентации в России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ind w:firstLine="426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Специалисты проекта «Билет в будущее» разработали профориентационный минимум для российских школ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Методические рекомендации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созданы при участии экспертов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педагогов для проекта «Школа Минпросвещения России»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запросу Министерства просвещения РФ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План включает разработку системы профессиональной ориентации школьников </w:t>
      </w:r>
      <w:r>
        <w:rPr>
          <w:rFonts w:ascii="Times New Roman" w:hAnsi="Times New Roman"/>
          <w:rtl w:val="0"/>
          <w:lang w:val="ru-RU"/>
        </w:rPr>
        <w:t>6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>классов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Итогом масштабной работы станет повсеместное внедрение профориентационного минимума после завершения профильных экспертиз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Созданные методические рекомендации включают в себя комплекс мер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поможет определить готовность школьников к профессиональному самоопределению с учетом индивидуальных особенностей ребенка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запросов кадровой экономики и специфики рынка труда страны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Проект уже получил положительные отзывы экспертов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Среди них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позитивно оценили работу Пряжников 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профессор факультета психологии МГУ 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Ломоносова и Орешкина 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зав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Центра воспитания и развития личности ФГБУ «РАО»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Концепция проекта прошла дополнительную проверку в Институте стратегии развития образования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РАО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где специалисты оценили мотивационные и профориентационные составляющие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«Цель создания профминимума – обеспечение профориентационной помощи каждому учащемуся </w:t>
      </w:r>
      <w:r>
        <w:rPr>
          <w:rFonts w:ascii="Times New Roman" w:hAnsi="Times New Roman"/>
          <w:rtl w:val="0"/>
          <w:lang w:val="ru-RU"/>
        </w:rPr>
        <w:t>6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>классов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это 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выбрать свой путь в жизни смогут сотни тысяч детей по всей стране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Разработанные материалы дают отличную платформу для развития компетенций педагогов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работе с мотивацией школьников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предварительному знакомству учеников с рынком труда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в скором времени им предстоит стать полноправным участником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это социализация подростков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Также в пределах рекомендаций важная роль отведена родителям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которые как никто другой способны помочь ребенку осознанно выбрать профессию»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Есин Иван руководитель федерального оператора проекта «Билет в будущее»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Представленные в пособии профориентационные инструменты актуальны и важны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задают вектор развития теории и практики профессиональной ориентации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продуктивно раскрывают область пересечения теории и практики профессионального самоопределения в современных условиях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заключает </w:t>
      </w:r>
      <w:r>
        <w:rPr>
          <w:rFonts w:ascii="Times New Roman" w:hAnsi="Times New Roman" w:hint="default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кандидат педагогических наук старший научный сотрудник  ФГБНУ «Институт стратегии развития образования </w:t>
      </w:r>
      <w:r>
        <w:rPr>
          <w:rFonts w:ascii="Times New Roman" w:hAnsi="Times New Roman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PAO</w:t>
      </w:r>
      <w:r>
        <w:rPr>
          <w:rFonts w:ascii="Times New Roman" w:hAnsi="Times New Roman" w:hint="default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» 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Евгений Черкашин</w:t>
      </w: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Напомним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с сентября 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2021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года цифровым ядром проекта «Билет в Будущее» является электронная онлайн</w:t>
      </w:r>
      <w:r>
        <w:rPr>
          <w:rFonts w:ascii="Times New Roman" w:hAnsi="Times New Roman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платформа </w:t>
      </w:r>
      <w:r>
        <w:rPr>
          <w:rFonts w:ascii="Times New Roman" w:hAnsi="Times New Roman"/>
          <w:shd w:val="clear" w:color="auto" w:fill="ffffff"/>
          <w:rtl w:val="0"/>
          <w:lang w:val="en-US"/>
        </w:rPr>
        <w:t>BVBINFO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.RU,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разработанная оператором Проекта 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Фондом Гуманитарных Проектов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утверждённым поручением Президента Российской Федерации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приказом Минпросвещения России и постановлением Правительства Российской Федерации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В 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2021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– 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2022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годах более 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600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тысяч учеников школ со всей страны приняли участие в проекте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Образовательные организации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педагоги доп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образования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работодатели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ВУЗы и колледжи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крупнейшие российские компании и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онлайн</w:t>
      </w:r>
      <w:r>
        <w:rPr>
          <w:rFonts w:ascii="Times New Roman" w:hAnsi="Times New Roman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платформы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организации дополнительного образования стали партнерами «Билета в будущее» на постоянной основе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before="0" w:line="240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  <w:rtl w:val="0"/>
          <w:lang w:val="ru-RU"/>
        </w:rPr>
        <w:t>Уже сейчас опыт проекта «Билет в будущее» востребован и активно используется российскими партнерами на международной арене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426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